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96" w:rsidRPr="007D3196" w:rsidRDefault="007D3196" w:rsidP="007D3196">
      <w:pPr>
        <w:shd w:val="clear" w:color="auto" w:fill="557384"/>
        <w:spacing w:before="100" w:beforeAutospacing="1" w:after="15" w:line="240" w:lineRule="auto"/>
        <w:jc w:val="right"/>
        <w:outlineLvl w:val="1"/>
        <w:rPr>
          <w:rFonts w:ascii="Verdana" w:eastAsia="Times New Roman" w:hAnsi="Verdana" w:cs="Times New Roman"/>
          <w:b/>
          <w:bCs/>
          <w:caps/>
          <w:color w:val="FFFFFF"/>
          <w:spacing w:val="30"/>
          <w:sz w:val="14"/>
          <w:szCs w:val="14"/>
          <w:lang w:eastAsia="nb-NO"/>
        </w:rPr>
      </w:pPr>
      <w:bookmarkStart w:id="0" w:name="_GoBack"/>
      <w:bookmarkEnd w:id="0"/>
      <w:r w:rsidRPr="007D3196">
        <w:rPr>
          <w:rFonts w:ascii="Verdana" w:eastAsia="Times New Roman" w:hAnsi="Verdana" w:cs="Times New Roman"/>
          <w:b/>
          <w:bCs/>
          <w:caps/>
          <w:color w:val="FFFFFF"/>
          <w:spacing w:val="30"/>
          <w:sz w:val="14"/>
          <w:szCs w:val="14"/>
          <w:lang w:eastAsia="nb-NO"/>
        </w:rPr>
        <w:t>REFERAT FRA DOMMERKONFERANSEN I SARPSBORG, 5. NOVEMBER 2005</w:t>
      </w:r>
    </w:p>
    <w:p w:rsidR="007D3196" w:rsidRPr="007D3196" w:rsidRDefault="007D3196" w:rsidP="007D31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</w:pP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u w:val="single"/>
          <w:lang w:eastAsia="nb-NO"/>
        </w:rPr>
        <w:t>Til stede: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 Ingjerd og Turid Lien, Linn Andresen, Carine R. Moe, Emilie </w:t>
      </w:r>
      <w:proofErr w:type="spell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Mossevik</w:t>
      </w:r>
      <w:proofErr w:type="spell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, Rebekka Haga, Sunniva Tusvik, Maja </w:t>
      </w:r>
      <w:proofErr w:type="spell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Lønvik</w:t>
      </w:r>
      <w:proofErr w:type="spell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, Odd A. O. </w:t>
      </w:r>
      <w:proofErr w:type="spell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Nannerud</w:t>
      </w:r>
      <w:proofErr w:type="spell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, Anja Andresen, Katrine Torp, Trine Holte, Hilde Torp, Tom Olafsen, Anita Wilmann, Torunn Oddsen, Karoline Wang </w:t>
      </w:r>
      <w:proofErr w:type="spell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Sundgaard</w:t>
      </w:r>
      <w:proofErr w:type="spell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, </w:t>
      </w:r>
      <w:proofErr w:type="spell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Caria</w:t>
      </w:r>
      <w:proofErr w:type="spell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Næss, Terje </w:t>
      </w:r>
      <w:proofErr w:type="spell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Grandetrø</w:t>
      </w:r>
      <w:proofErr w:type="spell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og Torild Rosenvinge.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b/>
          <w:bCs/>
          <w:color w:val="343434"/>
          <w:sz w:val="17"/>
          <w:szCs w:val="17"/>
          <w:lang w:eastAsia="nb-NO"/>
        </w:rPr>
        <w:t>På dagsorden stod:</w:t>
      </w:r>
      <w:r w:rsidRPr="007D3196">
        <w:rPr>
          <w:rFonts w:ascii="Verdana" w:eastAsia="Times New Roman" w:hAnsi="Verdana" w:cs="Times New Roman"/>
          <w:b/>
          <w:bCs/>
          <w:color w:val="343434"/>
          <w:sz w:val="17"/>
          <w:szCs w:val="17"/>
          <w:lang w:eastAsia="nb-NO"/>
        </w:rPr>
        <w:br/>
        <w:t>- Korrigeringer</w:t>
      </w:r>
      <w:r w:rsidRPr="007D3196">
        <w:rPr>
          <w:rFonts w:ascii="Verdana" w:eastAsia="Times New Roman" w:hAnsi="Verdana" w:cs="Times New Roman"/>
          <w:b/>
          <w:bCs/>
          <w:color w:val="343434"/>
          <w:sz w:val="17"/>
          <w:szCs w:val="17"/>
          <w:lang w:eastAsia="nb-NO"/>
        </w:rPr>
        <w:br/>
        <w:t>- Båndføring</w:t>
      </w:r>
      <w:r w:rsidRPr="007D3196">
        <w:rPr>
          <w:rFonts w:ascii="Verdana" w:eastAsia="Times New Roman" w:hAnsi="Verdana" w:cs="Times New Roman"/>
          <w:b/>
          <w:bCs/>
          <w:color w:val="343434"/>
          <w:sz w:val="17"/>
          <w:szCs w:val="17"/>
          <w:lang w:eastAsia="nb-NO"/>
        </w:rPr>
        <w:br/>
        <w:t>- Tidsfeil</w:t>
      </w:r>
      <w:r w:rsidRPr="007D3196">
        <w:rPr>
          <w:rFonts w:ascii="Verdana" w:eastAsia="Times New Roman" w:hAnsi="Verdana" w:cs="Times New Roman"/>
          <w:b/>
          <w:bCs/>
          <w:color w:val="343434"/>
          <w:sz w:val="17"/>
          <w:szCs w:val="17"/>
          <w:lang w:eastAsia="nb-NO"/>
        </w:rPr>
        <w:br/>
        <w:t>- Dømming i høyde og lengde</w:t>
      </w:r>
      <w:r w:rsidRPr="007D3196">
        <w:rPr>
          <w:rFonts w:ascii="Verdana" w:eastAsia="Times New Roman" w:hAnsi="Verdana" w:cs="Times New Roman"/>
          <w:b/>
          <w:bCs/>
          <w:color w:val="343434"/>
          <w:sz w:val="17"/>
          <w:szCs w:val="17"/>
          <w:lang w:eastAsia="nb-NO"/>
        </w:rPr>
        <w:br/>
        <w:t>- Økt status for kaninhopping som sport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u w:val="single"/>
          <w:lang w:eastAsia="nb-NO"/>
        </w:rPr>
        <w:t>Ting vi er enige om, og som vil bli igangsatt/presisert snarest mulig: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b/>
          <w:bCs/>
          <w:color w:val="343434"/>
          <w:sz w:val="17"/>
          <w:szCs w:val="17"/>
          <w:lang w:eastAsia="nb-NO"/>
        </w:rPr>
        <w:t>Korrigeringer: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 xml:space="preserve">• Alt føreren gjør og som er en hjelp for kaninen, skal dømmes som korrigering. Skille mellom hjelp og ros. Et dytt i baken i det den hopper, regnes også som 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korrigering.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>•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Dersom føreren løfter en eller flere av kaninens labber opp fra bakken, er dette en korrigering. Det er OK å ta på kaninens side mens den står/går. OK å klappe men ikke 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dytte.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>•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Løft over hinder dømmes som feil. Hvis kaninen må korrigeres for å løftes over (for eksempel sprunget forbi), skal man dømme både korrigering og feil. Føreren skal altså ikke 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kunne ”gamble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” på å spare korrigeringsfeil ved å løfte over når man ser at kaninen må korrigeres.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>• Hvis man bruker hendene som hjelp (kaninen hopper over førerens hender for å klare hinderet) skal det dømmes korrigering uansett om føreren er nær kaninen eller ikke.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 xml:space="preserve">• Start og </w:t>
      </w:r>
      <w:proofErr w:type="spell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målhinder</w:t>
      </w:r>
      <w:proofErr w:type="spell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er kun for tidtaking og det skal ikke dømmes korrigering for disse. (Ikke mellom siste hinder og mål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).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>•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Løft mellom </w:t>
      </w:r>
      <w:proofErr w:type="spell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hinderne</w:t>
      </w:r>
      <w:proofErr w:type="spell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er ikke lov. Advarsel gis – også dersom dette skjer før 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målhinderet.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>•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Hvis kaninen holder på å gå ut på tid, og føreren løfter kaninen over de to siste hinder, skal kaninen uansett gå selv mellom </w:t>
      </w:r>
      <w:proofErr w:type="spell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hinderne</w:t>
      </w:r>
      <w:proofErr w:type="spell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 xml:space="preserve">• I kroket bane er det OK å styre med hendene. OK med klapping. Med en gang føreren løfter en eller flere labber opp, er det korrigering. Tillater stramt bånd i 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svingene.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>•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Korrigeringer med båndet er ikke bra. Husk at man må ha fokus på dette og dømme korrigeringer når føreren korrigerer med båndet. Her kan det være aktuelt å gi veiledning/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advarsel.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>•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Dømming av korrigeringer skal være strengere i vanskelig og elite enn i middels. Lett og middels regnes som lærestadier, og her er det viktig å bygge opp 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trygghet.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b/>
          <w:bCs/>
          <w:color w:val="343434"/>
          <w:sz w:val="17"/>
          <w:szCs w:val="17"/>
          <w:lang w:eastAsia="nb-NO"/>
        </w:rPr>
        <w:t>Båndføring: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>•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Føreren skal alltid være bak kaninen. Pass på at ikke føreren har hendene/armene foran kaninen 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heller.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>•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Alltid slakt bånd over hinderet. Vær spesielt OBS på båndet i det kaninen tar 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sats.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>•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Aldri armen opp ved hinderet slik at båndet blir stramt.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>• Båndets lengde, min 1,5 m i bane og 2m i høyde/lengde.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b/>
          <w:bCs/>
          <w:color w:val="343434"/>
          <w:sz w:val="17"/>
          <w:szCs w:val="17"/>
          <w:lang w:eastAsia="nb-NO"/>
        </w:rPr>
        <w:t>Tidsfeil: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 xml:space="preserve">• Tidsfeil bør brukes aktivt. Det bør være vanlig med tidsfeil i vanskelig og elite og større konkurranser i middels. Tidsfeilgrensen må ikke være 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for ”slapp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”.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b/>
          <w:bCs/>
          <w:color w:val="343434"/>
          <w:sz w:val="17"/>
          <w:szCs w:val="17"/>
          <w:lang w:eastAsia="nb-NO"/>
        </w:rPr>
        <w:t>Nytt krav for eliteklassifisering i bane: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 xml:space="preserve">• Kaninen skal ha 5 pinner for å kunne tas opp fra vanskelig til elite. Det er anledning for førere fra små 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og ”avsides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” klubber å søke om å få ta opp kaninen etter 3 pinner. Søknaden skal være begrunnet og sendes styret. Husk at behandlingstiden kan være opp mot 14 dager og lenger i feriene.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b/>
          <w:bCs/>
          <w:color w:val="343434"/>
          <w:sz w:val="17"/>
          <w:szCs w:val="17"/>
          <w:lang w:eastAsia="nb-NO"/>
        </w:rPr>
        <w:t xml:space="preserve">Dømming i høyde og lengde – nye </w:t>
      </w:r>
      <w:proofErr w:type="gramStart"/>
      <w:r w:rsidRPr="007D3196">
        <w:rPr>
          <w:rFonts w:ascii="Verdana" w:eastAsia="Times New Roman" w:hAnsi="Verdana" w:cs="Times New Roman"/>
          <w:b/>
          <w:bCs/>
          <w:color w:val="343434"/>
          <w:sz w:val="17"/>
          <w:szCs w:val="17"/>
          <w:lang w:eastAsia="nb-NO"/>
        </w:rPr>
        <w:t>regler: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>•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Ny avstand mellom markering og hinder i høyde. ”50- 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cm”-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grensen økes til 100 cm.. </w:t>
      </w:r>
      <w:proofErr w:type="spell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Dvs</w:t>
      </w:r>
      <w:proofErr w:type="spell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at hvis kaninen tar sats nærmere enn 100 cm foran hinderet regnes dette som et forsøk selv om føreren tar kaninen 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tilbake.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>•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Korrigeringer: I tillegg til det som hittil har vært dømt som 1/3 forsøk (kaninen løper forbi lengde/høydehinderet), skal det nå også dømmes korrigeringer i høyde og lengde. Det er anledning til 2 korrigeringer før hvert forsøk, og 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man ”drar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” ikke med seg korrigeringene til neste forsøk eller neste omgang. Regler for korrigeringer her er de samme som i bane, og det er viktig at dommeren dømmer ALT som er til hjelp for kaninen som korrigering. Idealet er at kaninen skal hoppe helt 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selv.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>•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Hvis føreren løfter opp kaninen ved hinderet og hele eller deler av kaninen er over høydehinderet eller fastbommen i lengde, skal dette dømmes som et forsøk.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b/>
          <w:bCs/>
          <w:color w:val="343434"/>
          <w:sz w:val="17"/>
          <w:szCs w:val="17"/>
          <w:lang w:eastAsia="nb-NO"/>
        </w:rPr>
        <w:t>Dytt og hjelp i høyde/lengde: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lastRenderedPageBreak/>
        <w:t>• Hvis føreren gir kaninen et dytt i det den hopper (tar sats), skal ikke forsøket godkjennes. (Det er lov å dytte forsiktig i det man starter løpefarten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).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b/>
          <w:bCs/>
          <w:color w:val="343434"/>
          <w:sz w:val="17"/>
          <w:szCs w:val="17"/>
          <w:lang w:eastAsia="nb-NO"/>
        </w:rPr>
        <w:t>Ting</w:t>
      </w:r>
      <w:proofErr w:type="gramEnd"/>
      <w:r w:rsidRPr="007D3196">
        <w:rPr>
          <w:rFonts w:ascii="Verdana" w:eastAsia="Times New Roman" w:hAnsi="Verdana" w:cs="Times New Roman"/>
          <w:b/>
          <w:bCs/>
          <w:color w:val="343434"/>
          <w:sz w:val="17"/>
          <w:szCs w:val="17"/>
          <w:lang w:eastAsia="nb-NO"/>
        </w:rPr>
        <w:t xml:space="preserve"> vi diskuterte men som må drøftes videre: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 xml:space="preserve">• Korrigering: Hvor streng skal man være på hva som dømmes som korrigering? Kan man bli så streng at all berøring av kaninen under løpet i rett bane dømmes som korrigering? Temaet korrigeringer bør drøftes videre på neste </w:t>
      </w:r>
      <w:proofErr w:type="gram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dommerkonferanse.</w:t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  <w:t>•</w:t>
      </w:r>
      <w:proofErr w:type="gram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Konkurransetetthet for kaninen: Vi er enige om at det vil være uheldig om en kanin deltar i så mange konkurranser i løpet av </w:t>
      </w:r>
      <w:proofErr w:type="spell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f.eks</w:t>
      </w:r>
      <w:proofErr w:type="spell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en 10- dagers periode at den kan sanke nok pinner til å komme fra middels til elite. Hvordan man skal begrense dette, er man derimot uenige om. Det har vært nevnt mulighet for å kreve at kaninen for eksempel skal være min. 3 </w:t>
      </w:r>
      <w:proofErr w:type="spell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mnd</w:t>
      </w:r>
      <w:proofErr w:type="spell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 xml:space="preserve"> i vanskelig før den får starte i elite. Om kaninen har nok pinner etter for eksempel 2 </w:t>
      </w:r>
      <w:proofErr w:type="spellStart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mnd</w:t>
      </w:r>
      <w:proofErr w:type="spellEnd"/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t>, skal den kunne starte utenfor i vanskelig i den resterende perioden. Andre tiltak ble også diskutert, men man er enige om at det ikke er negativt for kaninen å konkurrere ofte og at man dermed ikke ønsker å legge begrensninger på klubbenes aktivitetsnivå. Dette diskuteres videre på neste dommerkonferanse.</w:t>
      </w:r>
    </w:p>
    <w:p w:rsidR="007D3196" w:rsidRPr="007D3196" w:rsidRDefault="007D3196" w:rsidP="007D3196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nb-NO"/>
        </w:rPr>
      </w:pPr>
      <w:r w:rsidRPr="007D3196">
        <w:rPr>
          <w:rFonts w:ascii="Arial" w:eastAsia="Times New Roman" w:hAnsi="Arial" w:cs="Arial"/>
          <w:i/>
          <w:iCs/>
          <w:color w:val="343434"/>
          <w:sz w:val="18"/>
          <w:szCs w:val="18"/>
          <w:lang w:eastAsia="nb-NO"/>
        </w:rPr>
        <w:t>Torild Rosenvinge, ref.</w:t>
      </w:r>
      <w:r w:rsidRPr="007D3196">
        <w:rPr>
          <w:rFonts w:ascii="Arial" w:eastAsia="Times New Roman" w:hAnsi="Arial" w:cs="Arial"/>
          <w:color w:val="343434"/>
          <w:sz w:val="18"/>
          <w:szCs w:val="18"/>
          <w:lang w:eastAsia="nb-NO"/>
        </w:rPr>
        <w:br/>
      </w:r>
      <w:r w:rsidRPr="007D3196">
        <w:rPr>
          <w:rFonts w:ascii="Arial" w:eastAsia="Times New Roman" w:hAnsi="Arial" w:cs="Arial"/>
          <w:color w:val="343434"/>
          <w:sz w:val="18"/>
          <w:szCs w:val="18"/>
          <w:lang w:eastAsia="nb-NO"/>
        </w:rPr>
        <w:br/>
      </w:r>
    </w:p>
    <w:p w:rsidR="007D3196" w:rsidRPr="007D3196" w:rsidRDefault="007D3196" w:rsidP="007D31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</w:pPr>
      <w:hyperlink r:id="rId5" w:anchor="top" w:history="1">
        <w:r w:rsidRPr="007D3196">
          <w:rPr>
            <w:rFonts w:ascii="Verdana" w:eastAsia="Times New Roman" w:hAnsi="Verdana" w:cs="Times New Roman"/>
            <w:color w:val="557384"/>
            <w:sz w:val="17"/>
            <w:szCs w:val="17"/>
            <w:u w:val="single"/>
            <w:lang w:eastAsia="nb-NO"/>
          </w:rPr>
          <w:t>Til toppen!</w:t>
        </w:r>
      </w:hyperlink>
    </w:p>
    <w:p w:rsidR="007D3196" w:rsidRPr="007D3196" w:rsidRDefault="007D3196" w:rsidP="007D319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</w:pP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noProof/>
          <w:color w:val="557384"/>
          <w:sz w:val="17"/>
          <w:szCs w:val="17"/>
          <w:lang w:eastAsia="nb-NO"/>
        </w:rPr>
        <w:drawing>
          <wp:inline distT="0" distB="0" distL="0" distR="0" wp14:anchorId="353D485E" wp14:editId="088D14AB">
            <wp:extent cx="2162175" cy="323850"/>
            <wp:effectExtent l="0" t="0" r="9525" b="0"/>
            <wp:docPr id="65" name="Bilde 65" descr="https://kaninhopping.no/bilder/ostlande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kaninhopping.no/bilder/ostlande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noProof/>
          <w:color w:val="557384"/>
          <w:sz w:val="17"/>
          <w:szCs w:val="17"/>
          <w:lang w:eastAsia="nb-NO"/>
        </w:rPr>
        <w:drawing>
          <wp:inline distT="0" distB="0" distL="0" distR="0" wp14:anchorId="0B0DFF0A" wp14:editId="5DB988E4">
            <wp:extent cx="2162175" cy="323850"/>
            <wp:effectExtent l="0" t="0" r="9525" b="0"/>
            <wp:docPr id="66" name="Bilde 66" descr="https://kaninhopping.no/bilder/trondela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kaninhopping.no/bilder/trondela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noProof/>
          <w:color w:val="557384"/>
          <w:sz w:val="17"/>
          <w:szCs w:val="17"/>
          <w:lang w:eastAsia="nb-NO"/>
        </w:rPr>
        <w:drawing>
          <wp:inline distT="0" distB="0" distL="0" distR="0" wp14:anchorId="32FDE1A6" wp14:editId="54D1BBA9">
            <wp:extent cx="2162175" cy="323850"/>
            <wp:effectExtent l="0" t="0" r="9525" b="0"/>
            <wp:docPr id="67" name="Bilde 67" descr="https://kaninhopping.no/bilder/vestlandet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kaninhopping.no/bilder/vestlandet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noProof/>
          <w:color w:val="343434"/>
          <w:sz w:val="17"/>
          <w:szCs w:val="17"/>
          <w:lang w:eastAsia="nb-NO"/>
        </w:rPr>
        <w:drawing>
          <wp:inline distT="0" distB="0" distL="0" distR="0" wp14:anchorId="50C66DED" wp14:editId="10669472">
            <wp:extent cx="2143125" cy="1571625"/>
            <wp:effectExtent l="0" t="0" r="9525" b="9525"/>
            <wp:docPr id="68" name="Bilde 68" descr="https://kaninhopping.no/bilder/NKH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kaninhopping.no/bilder/NKHF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7"/>
          <w:szCs w:val="17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5"/>
          <w:szCs w:val="15"/>
          <w:lang w:eastAsia="nb-NO"/>
        </w:rPr>
        <w:br/>
      </w:r>
      <w:r w:rsidRPr="007D3196">
        <w:rPr>
          <w:rFonts w:ascii="Verdana" w:eastAsia="Times New Roman" w:hAnsi="Verdana" w:cs="Times New Roman"/>
          <w:color w:val="343434"/>
          <w:sz w:val="15"/>
          <w:szCs w:val="15"/>
          <w:lang w:eastAsia="nb-NO"/>
        </w:rPr>
        <w:br/>
      </w:r>
    </w:p>
    <w:p w:rsidR="007D3196" w:rsidRPr="007D3196" w:rsidRDefault="007D3196" w:rsidP="007D3196">
      <w:pPr>
        <w:spacing w:after="0" w:line="240" w:lineRule="auto"/>
        <w:rPr>
          <w:rFonts w:ascii="Verdana" w:eastAsia="Times New Roman" w:hAnsi="Verdana" w:cs="Times New Roman"/>
          <w:color w:val="343434"/>
          <w:sz w:val="15"/>
          <w:szCs w:val="15"/>
          <w:lang w:eastAsia="nb-NO"/>
        </w:rPr>
      </w:pPr>
      <w:r w:rsidRPr="007D3196">
        <w:rPr>
          <w:rFonts w:ascii="Verdana" w:eastAsia="Times New Roman" w:hAnsi="Verdana" w:cs="Times New Roman"/>
          <w:noProof/>
          <w:color w:val="343434"/>
          <w:sz w:val="15"/>
          <w:szCs w:val="15"/>
          <w:lang w:eastAsia="nb-NO"/>
        </w:rPr>
        <w:drawing>
          <wp:inline distT="0" distB="0" distL="0" distR="0" wp14:anchorId="67740805" wp14:editId="40E6F319">
            <wp:extent cx="7620000" cy="476250"/>
            <wp:effectExtent l="0" t="0" r="0" b="0"/>
            <wp:docPr id="69" name="Bilde 69" descr="https://kaninhopping.no/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kaninhopping.no/foo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EE" w:rsidRDefault="007D3196"/>
    <w:sectPr w:rsidR="0036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31D"/>
    <w:multiLevelType w:val="multilevel"/>
    <w:tmpl w:val="EBB8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96"/>
    <w:rsid w:val="0071750A"/>
    <w:rsid w:val="007D3196"/>
    <w:rsid w:val="00F4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51960-589D-446F-AC8A-4A448736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inhopping.no/trondelag.htm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ninhopping.no/ostlandet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kaninhopping.no/dommerrefsarpsborg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aninhopping.no/vestlande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Dahlby</dc:creator>
  <cp:keywords/>
  <dc:description/>
  <cp:lastModifiedBy>Berit Dahlby</cp:lastModifiedBy>
  <cp:revision>1</cp:revision>
  <dcterms:created xsi:type="dcterms:W3CDTF">2020-01-15T13:11:00Z</dcterms:created>
  <dcterms:modified xsi:type="dcterms:W3CDTF">2020-01-15T14:22:00Z</dcterms:modified>
</cp:coreProperties>
</file>